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5AC" w:rsidRDefault="008955AC"/>
    <w:p w:rsidR="00706456" w:rsidRDefault="00706456" w:rsidP="00706456">
      <w:pPr>
        <w:widowControl/>
        <w:autoSpaceDE/>
        <w:autoSpaceDN/>
        <w:spacing w:before="600" w:after="240"/>
        <w:outlineLvl w:val="1"/>
        <w:rPr>
          <w:rFonts w:ascii="Arial" w:eastAsia="Times New Roman" w:hAnsi="Arial" w:cs="Arial"/>
          <w:color w:val="00002E"/>
          <w:sz w:val="36"/>
          <w:szCs w:val="36"/>
          <w:lang w:val="en-US"/>
        </w:rPr>
      </w:pPr>
    </w:p>
    <w:p w:rsidR="00706456" w:rsidRDefault="00706456" w:rsidP="00706456">
      <w:pPr>
        <w:widowControl/>
        <w:autoSpaceDE/>
        <w:autoSpaceDN/>
        <w:spacing w:before="600" w:after="240"/>
        <w:outlineLvl w:val="1"/>
        <w:rPr>
          <w:rFonts w:ascii="Arial" w:eastAsia="Times New Roman" w:hAnsi="Arial" w:cs="Arial"/>
          <w:color w:val="00002E"/>
          <w:sz w:val="36"/>
          <w:szCs w:val="36"/>
          <w:lang w:val="en-US"/>
        </w:rPr>
      </w:pPr>
      <w:hyperlink r:id="rId5" w:history="1">
        <w:r w:rsidRPr="002E76C1">
          <w:rPr>
            <w:rStyle w:val="Hyperlink"/>
            <w:rFonts w:ascii="Arial" w:eastAsia="Times New Roman" w:hAnsi="Arial" w:cs="Arial"/>
            <w:sz w:val="36"/>
            <w:szCs w:val="36"/>
            <w:lang w:val="en-US"/>
          </w:rPr>
          <w:t>https://food.ec.europa.eu/food-safety/biological-safety/food-hygiene/microbiological-criteria_en</w:t>
        </w:r>
      </w:hyperlink>
    </w:p>
    <w:p w:rsidR="00706456" w:rsidRPr="00706456" w:rsidRDefault="00706456" w:rsidP="00706456">
      <w:pPr>
        <w:widowControl/>
        <w:autoSpaceDE/>
        <w:autoSpaceDN/>
        <w:spacing w:before="600" w:after="240"/>
        <w:outlineLvl w:val="1"/>
        <w:rPr>
          <w:rFonts w:ascii="Arial" w:eastAsia="Times New Roman" w:hAnsi="Arial" w:cs="Arial"/>
          <w:color w:val="00002E"/>
          <w:sz w:val="36"/>
          <w:szCs w:val="36"/>
          <w:lang w:val="en-US"/>
        </w:rPr>
      </w:pPr>
      <w:bookmarkStart w:id="0" w:name="_GoBack"/>
      <w:bookmarkEnd w:id="0"/>
      <w:proofErr w:type="spellStart"/>
      <w:r w:rsidRPr="00706456">
        <w:rPr>
          <w:rFonts w:ascii="Arial" w:eastAsia="Times New Roman" w:hAnsi="Arial" w:cs="Arial"/>
          <w:color w:val="00002E"/>
          <w:sz w:val="36"/>
          <w:szCs w:val="36"/>
          <w:lang w:val="en-US"/>
        </w:rPr>
        <w:t>Despre</w:t>
      </w:r>
      <w:proofErr w:type="spellEnd"/>
      <w:r w:rsidRPr="00706456">
        <w:rPr>
          <w:rFonts w:ascii="Arial" w:eastAsia="Times New Roman" w:hAnsi="Arial" w:cs="Arial"/>
          <w:color w:val="00002E"/>
          <w:sz w:val="36"/>
          <w:szCs w:val="36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36"/>
          <w:szCs w:val="36"/>
          <w:lang w:val="en-US"/>
        </w:rPr>
        <w:t>criterii</w:t>
      </w:r>
      <w:proofErr w:type="spellEnd"/>
    </w:p>
    <w:p w:rsidR="00706456" w:rsidRPr="00706456" w:rsidRDefault="00706456" w:rsidP="00706456">
      <w:pPr>
        <w:widowControl/>
        <w:autoSpaceDE/>
        <w:autoSpaceDN/>
        <w:spacing w:before="100" w:beforeAutospacing="1" w:after="100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Produsele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origine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animală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vegetală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pot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prezenta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gram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un</w:t>
      </w:r>
      <w:proofErr w:type="gram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risc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microbiologic.</w:t>
      </w:r>
    </w:p>
    <w:p w:rsidR="00706456" w:rsidRPr="00706456" w:rsidRDefault="00706456" w:rsidP="00706456">
      <w:pPr>
        <w:widowControl/>
        <w:autoSpaceDE/>
        <w:autoSpaceDN/>
        <w:spacing w:before="100" w:beforeAutospacing="1" w:after="100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Criteriile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microbiologice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oferă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îndrumări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acceptabilitatea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produselor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proceselor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fabricație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.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Acțiunile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preventive, cum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fi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aplicarea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bunelor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practici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igienă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fabricație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(BPE, BPF)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principiilor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analizei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riscurilor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punctelor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critice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 xml:space="preserve"> de control</w:t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(HACCP),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contribuie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la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atingerea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siguranței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.</w:t>
      </w:r>
    </w:p>
    <w:p w:rsidR="00706456" w:rsidRPr="00706456" w:rsidRDefault="00706456" w:rsidP="00706456">
      <w:pPr>
        <w:widowControl/>
        <w:autoSpaceDE/>
        <w:autoSpaceDN/>
        <w:spacing w:before="100" w:beforeAutospacing="1" w:after="100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Testarea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microbiologică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nu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poate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garanta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siguranța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unui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produs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alimentar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testat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dar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aceste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criterii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oferă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obiective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puncte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referință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gram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</w:t>
      </w:r>
      <w:proofErr w:type="gram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ajuta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întreprinderile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din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domeniul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alimentar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autoritățile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competente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activitățile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gestionare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monitorizare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siguranței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produselor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.</w:t>
      </w:r>
    </w:p>
    <w:p w:rsidR="00706456" w:rsidRPr="00706456" w:rsidRDefault="00706456" w:rsidP="00706456">
      <w:pPr>
        <w:widowControl/>
        <w:autoSpaceDE/>
        <w:autoSpaceDN/>
        <w:spacing w:beforeAutospacing="1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6" w:history="1">
        <w:proofErr w:type="spellStart"/>
        <w:r w:rsidRPr="00706456">
          <w:rPr>
            <w:rFonts w:ascii="Arial" w:eastAsia="Times New Roman" w:hAnsi="Arial" w:cs="Arial"/>
            <w:b/>
            <w:bCs/>
            <w:color w:val="0046FF"/>
            <w:sz w:val="27"/>
            <w:szCs w:val="27"/>
            <w:u w:val="single"/>
            <w:lang w:val="en-US"/>
          </w:rPr>
          <w:t>Regulamentul</w:t>
        </w:r>
        <w:proofErr w:type="spellEnd"/>
        <w:r w:rsidRPr="00706456">
          <w:rPr>
            <w:rFonts w:ascii="Arial" w:eastAsia="Times New Roman" w:hAnsi="Arial" w:cs="Arial"/>
            <w:b/>
            <w:bCs/>
            <w:color w:val="0046FF"/>
            <w:sz w:val="27"/>
            <w:szCs w:val="27"/>
            <w:u w:val="single"/>
            <w:lang w:val="en-US"/>
          </w:rPr>
          <w:t xml:space="preserve"> (CE) </w:t>
        </w:r>
        <w:proofErr w:type="spellStart"/>
        <w:r w:rsidRPr="00706456">
          <w:rPr>
            <w:rFonts w:ascii="Arial" w:eastAsia="Times New Roman" w:hAnsi="Arial" w:cs="Arial"/>
            <w:b/>
            <w:bCs/>
            <w:color w:val="0046FF"/>
            <w:sz w:val="27"/>
            <w:szCs w:val="27"/>
            <w:u w:val="single"/>
            <w:lang w:val="en-US"/>
          </w:rPr>
          <w:t>nr</w:t>
        </w:r>
        <w:proofErr w:type="spellEnd"/>
        <w:r w:rsidRPr="00706456">
          <w:rPr>
            <w:rFonts w:ascii="Arial" w:eastAsia="Times New Roman" w:hAnsi="Arial" w:cs="Arial"/>
            <w:b/>
            <w:bCs/>
            <w:color w:val="0046FF"/>
            <w:sz w:val="27"/>
            <w:szCs w:val="27"/>
            <w:u w:val="single"/>
            <w:lang w:val="en-US"/>
          </w:rPr>
          <w:t xml:space="preserve">. 2073/2005 al </w:t>
        </w:r>
        <w:proofErr w:type="spellStart"/>
        <w:r w:rsidRPr="00706456">
          <w:rPr>
            <w:rFonts w:ascii="Arial" w:eastAsia="Times New Roman" w:hAnsi="Arial" w:cs="Arial"/>
            <w:b/>
            <w:bCs/>
            <w:color w:val="0046FF"/>
            <w:sz w:val="27"/>
            <w:szCs w:val="27"/>
            <w:u w:val="single"/>
            <w:lang w:val="en-US"/>
          </w:rPr>
          <w:t>Comisiei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criteriile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microbiologice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aplicabil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la 1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ianuarie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2006,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stabilește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criteriile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siguranță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alimentară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bacteriile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relevante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transmise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toxinele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metaboliții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acestora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, cum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fi</w:t>
      </w:r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> Salmonella</w:t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,</w:t>
      </w:r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 xml:space="preserve"> Listeria </w:t>
      </w:r>
      <w:proofErr w:type="spellStart"/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>monocytogenes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,</w:t>
      </w:r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>Enterobacter</w:t>
      </w:r>
      <w:proofErr w:type="spellEnd"/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>sakazakii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enterotoxinele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stafilococice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histamina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din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anumite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.</w:t>
      </w:r>
    </w:p>
    <w:p w:rsidR="00706456" w:rsidRPr="00706456" w:rsidRDefault="00706456" w:rsidP="00706456">
      <w:pPr>
        <w:widowControl/>
        <w:autoSpaceDE/>
        <w:autoSpaceDN/>
        <w:spacing w:before="100" w:beforeAutospacing="1" w:after="100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lastRenderedPageBreak/>
        <w:t>Aceste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criterii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definesc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acceptabilitatea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unui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produs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sau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unui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lot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aplicabile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produselor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introduse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piață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.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plus,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prezentul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regulament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stabilește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anumite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criterii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igienă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 xml:space="preserve"> a 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procesului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gram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</w:t>
      </w:r>
      <w:proofErr w:type="gram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indica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funcționarea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corectă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procesului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producție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.</w:t>
      </w:r>
    </w:p>
    <w:p w:rsidR="00706456" w:rsidRPr="00706456" w:rsidRDefault="00706456" w:rsidP="00706456">
      <w:pPr>
        <w:widowControl/>
        <w:autoSpaceDE/>
        <w:autoSpaceDN/>
        <w:spacing w:beforeAutospacing="1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Criteriile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microbiologice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au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fost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elaborate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conformitate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cu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principii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recunoscute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la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nivel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internațional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, cum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fi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din </w:t>
      </w:r>
      <w:hyperlink r:id="rId7" w:history="1"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Codex </w:t>
        </w:r>
        <w:proofErr w:type="spellStart"/>
        <w:proofErr w:type="gram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Alimentarius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. </w:t>
        </w:r>
        <w:proofErr w:type="spellStart"/>
        <w:proofErr w:type="gramEnd"/>
      </w:hyperlink>
      <w:hyperlink r:id="rId8" w:history="1"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Autoritatea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Europeană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pentru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Siguranța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Alimentară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(EFSA)</w:t>
        </w:r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oferă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consultanță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științifică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aspectele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legate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riscurile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microbiologice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din </w:t>
      </w:r>
      <w:proofErr w:type="spellStart"/>
      <w:proofErr w:type="gram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.</w:t>
      </w:r>
      <w:proofErr w:type="gramEnd"/>
    </w:p>
    <w:p w:rsidR="00706456" w:rsidRPr="00706456" w:rsidRDefault="00706456" w:rsidP="00706456">
      <w:pPr>
        <w:widowControl/>
        <w:autoSpaceDE/>
        <w:autoSpaceDN/>
        <w:spacing w:beforeAutospacing="1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9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Documentul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dezbatere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privind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strategia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stabilire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criteriilor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microbiologice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pentru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produsele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alimentare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în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legislația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comunitară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(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anexa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1)</w:t>
        </w:r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descrie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strategia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UE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stabilire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revizuire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criteriilor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microbiologice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produsele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legislația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UE.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Strategia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include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principiile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elaborare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aplicare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criteriilor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precum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propuneri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măsuri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care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trebuie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luate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.</w:t>
      </w:r>
    </w:p>
    <w:p w:rsidR="00706456" w:rsidRPr="00706456" w:rsidRDefault="00706456" w:rsidP="00706456">
      <w:pPr>
        <w:widowControl/>
        <w:autoSpaceDE/>
        <w:autoSpaceDN/>
        <w:spacing w:beforeAutospacing="1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sprijini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serviciul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Comisiei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țările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UE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gestionarea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riscurilor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microbiologice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, 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fost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înființată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o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rețea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begin"/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instrText xml:space="preserve"> HYPERLINK "https://food.ec.europa.eu/horizontal-topics/european-union-reference-laboratories_en" </w:instrText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separate"/>
      </w:r>
      <w:r w:rsidRPr="00706456">
        <w:rPr>
          <w:rFonts w:ascii="Arial" w:eastAsia="Times New Roman" w:hAnsi="Arial" w:cs="Arial"/>
          <w:b/>
          <w:bCs/>
          <w:color w:val="0046FF"/>
          <w:sz w:val="27"/>
          <w:szCs w:val="27"/>
          <w:u w:val="single"/>
          <w:lang w:val="en-US"/>
        </w:rPr>
        <w:t>laboratoare</w:t>
      </w:r>
      <w:proofErr w:type="spellEnd"/>
      <w:r w:rsidRPr="00706456">
        <w:rPr>
          <w:rFonts w:ascii="Arial" w:eastAsia="Times New Roman" w:hAnsi="Arial" w:cs="Arial"/>
          <w:b/>
          <w:bCs/>
          <w:color w:val="0046FF"/>
          <w:sz w:val="27"/>
          <w:szCs w:val="27"/>
          <w:u w:val="single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b/>
          <w:bCs/>
          <w:color w:val="0046FF"/>
          <w:sz w:val="27"/>
          <w:szCs w:val="27"/>
          <w:u w:val="single"/>
          <w:lang w:val="en-US"/>
        </w:rPr>
        <w:t>referință</w:t>
      </w:r>
      <w:proofErr w:type="spellEnd"/>
      <w:r w:rsidRPr="00706456">
        <w:rPr>
          <w:rFonts w:ascii="Arial" w:eastAsia="Times New Roman" w:hAnsi="Arial" w:cs="Arial"/>
          <w:b/>
          <w:bCs/>
          <w:color w:val="0046FF"/>
          <w:sz w:val="27"/>
          <w:szCs w:val="27"/>
          <w:u w:val="single"/>
          <w:lang w:val="en-US"/>
        </w:rPr>
        <w:t xml:space="preserve"> ale UE </w:t>
      </w:r>
      <w:proofErr w:type="spellStart"/>
      <w:r w:rsidRPr="00706456">
        <w:rPr>
          <w:rFonts w:ascii="Arial" w:eastAsia="Times New Roman" w:hAnsi="Arial" w:cs="Arial"/>
          <w:b/>
          <w:bCs/>
          <w:color w:val="0046FF"/>
          <w:sz w:val="27"/>
          <w:szCs w:val="27"/>
          <w:u w:val="single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b/>
          <w:bCs/>
          <w:color w:val="0046FF"/>
          <w:sz w:val="27"/>
          <w:szCs w:val="27"/>
          <w:u w:val="single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end"/>
      </w:r>
      <w:hyperlink r:id="rId10" w:history="1">
        <w:r w:rsidRPr="00706456">
          <w:rPr>
            <w:rFonts w:ascii="Arial" w:eastAsia="Times New Roman" w:hAnsi="Arial" w:cs="Arial"/>
            <w:color w:val="0046FF"/>
            <w:sz w:val="27"/>
            <w:szCs w:val="27"/>
            <w:lang w:val="en-US"/>
          </w:rPr>
          <w:t>stafilococi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lang w:val="en-US"/>
          </w:rPr>
          <w:t>coagulazo-pozitivi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, </w:t>
      </w:r>
      <w:hyperlink r:id="rId11" w:history="1">
        <w:r w:rsidRPr="00706456">
          <w:rPr>
            <w:rFonts w:ascii="Arial" w:eastAsia="Times New Roman" w:hAnsi="Arial" w:cs="Arial"/>
            <w:i/>
            <w:iCs/>
            <w:color w:val="0046FF"/>
            <w:sz w:val="27"/>
            <w:szCs w:val="27"/>
            <w:lang w:val="en-US"/>
          </w:rPr>
          <w:t>Salmonella</w:t>
        </w:r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, </w:t>
      </w:r>
      <w:hyperlink r:id="rId12" w:history="1">
        <w:r w:rsidRPr="00706456">
          <w:rPr>
            <w:rFonts w:ascii="Arial" w:eastAsia="Times New Roman" w:hAnsi="Arial" w:cs="Arial"/>
            <w:i/>
            <w:iCs/>
            <w:color w:val="0046FF"/>
            <w:sz w:val="27"/>
            <w:szCs w:val="27"/>
            <w:lang w:val="en-US"/>
          </w:rPr>
          <w:t>Campylobacter</w:t>
        </w:r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, </w:t>
      </w:r>
      <w:hyperlink r:id="rId13" w:history="1">
        <w:r w:rsidRPr="00706456">
          <w:rPr>
            <w:rFonts w:ascii="Arial" w:eastAsia="Times New Roman" w:hAnsi="Arial" w:cs="Arial"/>
            <w:i/>
            <w:iCs/>
            <w:color w:val="0046FF"/>
            <w:sz w:val="27"/>
            <w:szCs w:val="27"/>
            <w:lang w:val="en-US"/>
          </w:rPr>
          <w:t>E. coli</w:t>
        </w:r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hyperlink r:id="rId14" w:history="1">
        <w:r w:rsidRPr="00706456">
          <w:rPr>
            <w:rFonts w:ascii="Arial" w:eastAsia="Times New Roman" w:hAnsi="Arial" w:cs="Arial"/>
            <w:i/>
            <w:iCs/>
            <w:color w:val="0046FF"/>
            <w:sz w:val="27"/>
            <w:szCs w:val="27"/>
            <w:lang w:val="en-US"/>
          </w:rPr>
          <w:t xml:space="preserve">Listeria </w:t>
        </w:r>
        <w:proofErr w:type="spellStart"/>
        <w:r w:rsidRPr="00706456">
          <w:rPr>
            <w:rFonts w:ascii="Arial" w:eastAsia="Times New Roman" w:hAnsi="Arial" w:cs="Arial"/>
            <w:i/>
            <w:iCs/>
            <w:color w:val="0046FF"/>
            <w:sz w:val="27"/>
            <w:szCs w:val="27"/>
            <w:lang w:val="en-US"/>
          </w:rPr>
          <w:t>monocytogenes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.</w:t>
      </w:r>
    </w:p>
    <w:p w:rsidR="00706456" w:rsidRPr="00706456" w:rsidRDefault="00706456" w:rsidP="00706456">
      <w:pPr>
        <w:widowControl/>
        <w:autoSpaceDE/>
        <w:autoSpaceDN/>
        <w:spacing w:before="600" w:after="240"/>
        <w:outlineLvl w:val="1"/>
        <w:rPr>
          <w:rFonts w:ascii="Arial" w:eastAsia="Times New Roman" w:hAnsi="Arial" w:cs="Arial"/>
          <w:color w:val="00002E"/>
          <w:sz w:val="36"/>
          <w:szCs w:val="36"/>
          <w:lang w:val="en-US"/>
        </w:rPr>
      </w:pPr>
      <w:r w:rsidRPr="00706456">
        <w:rPr>
          <w:rFonts w:ascii="Arial" w:eastAsia="Times New Roman" w:hAnsi="Arial" w:cs="Arial"/>
          <w:color w:val="00002E"/>
          <w:sz w:val="36"/>
          <w:szCs w:val="36"/>
          <w:lang w:val="en-US"/>
        </w:rPr>
        <w:t xml:space="preserve">Listeria </w:t>
      </w:r>
      <w:proofErr w:type="spellStart"/>
      <w:r w:rsidRPr="00706456">
        <w:rPr>
          <w:rFonts w:ascii="Arial" w:eastAsia="Times New Roman" w:hAnsi="Arial" w:cs="Arial"/>
          <w:color w:val="00002E"/>
          <w:sz w:val="36"/>
          <w:szCs w:val="36"/>
          <w:lang w:val="en-US"/>
        </w:rPr>
        <w:t>monocytogenes</w:t>
      </w:r>
      <w:proofErr w:type="spellEnd"/>
    </w:p>
    <w:p w:rsidR="00706456" w:rsidRPr="00706456" w:rsidRDefault="00706456" w:rsidP="00706456">
      <w:pPr>
        <w:widowControl/>
        <w:autoSpaceDE/>
        <w:autoSpaceDN/>
        <w:spacing w:beforeAutospacing="1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Documentul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hyperlink r:id="rId15" w:history="1"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orientare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tehnică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studiile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durata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valabilitate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 xml:space="preserve">Listeria </w:t>
      </w:r>
      <w:proofErr w:type="spellStart"/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>monocytogenes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RTE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oferă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laboratoarelor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specializate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informații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detaliate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practice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despre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modul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efectuare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studiilor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durata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valabilitate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(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special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studii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durabilitate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teste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provocare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)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 xml:space="preserve">Listeria </w:t>
      </w:r>
      <w:proofErr w:type="spellStart"/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>monocytogenes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RTE.</w:t>
      </w:r>
    </w:p>
    <w:p w:rsidR="00706456" w:rsidRPr="00706456" w:rsidRDefault="00706456" w:rsidP="00706456">
      <w:pPr>
        <w:widowControl/>
        <w:autoSpaceDE/>
        <w:autoSpaceDN/>
        <w:spacing w:beforeAutospacing="1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lastRenderedPageBreak/>
        <w:t>Orientările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begin"/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instrText xml:space="preserve"> HYPERLINK "https://food.ec.europa.eu/document/download/9fd4b4a9-ff58-46f6-ba17-a6d022ad2a7b_en?filename=biosafety_fh_mc_guidelines_on_sampling.pdf" </w:instrText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separate"/>
      </w:r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>eșantionarea</w:t>
      </w:r>
      <w:proofErr w:type="spellEnd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 xml:space="preserve"> din</w:t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end"/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zonele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echipamentele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procesare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alimentelor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descriu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procedurile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eșantionare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care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trebuie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efectuate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către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proofErr w:type="gram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operatorii</w:t>
      </w:r>
      <w:proofErr w:type="spellEnd"/>
      <w:proofErr w:type="gram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din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sectorul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alimentar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care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fabrică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RTE care pot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prezenta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un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risc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sănătatea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publică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legat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 xml:space="preserve">de L. </w:t>
      </w:r>
      <w:proofErr w:type="spellStart"/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>monocytogenes</w:t>
      </w:r>
      <w:proofErr w:type="spellEnd"/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>,</w:t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scopul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detectării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 xml:space="preserve">L. </w:t>
      </w:r>
      <w:proofErr w:type="spellStart"/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>monocytogenes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suprafețele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zonelor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echipamentelor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procesare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alimentelor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RTE.</w:t>
      </w:r>
    </w:p>
    <w:p w:rsidR="00706456" w:rsidRPr="00706456" w:rsidRDefault="00706456" w:rsidP="00706456">
      <w:pPr>
        <w:widowControl/>
        <w:autoSpaceDE/>
        <w:autoSpaceDN/>
        <w:spacing w:beforeAutospacing="1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proofErr w:type="gram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Documentul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orientare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EURL </w:t>
      </w:r>
      <w:hyperlink r:id="rId16" w:history="1"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Lm</w:t>
        </w:r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evaluarea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competenței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laboratoarelor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care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implementează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teste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provocare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studii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durabilitate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legate de </w:t>
      </w:r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 xml:space="preserve">Listeria </w:t>
      </w:r>
      <w:proofErr w:type="spellStart"/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>monocytogenes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gata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consum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propune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stabilească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o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abordare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armonizată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evaluarea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competenței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laboratoarelor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care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efectuează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studii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durata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valabilitate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(teste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provocare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studii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durabilitate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),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vederea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respectării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criteriilor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siguranță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alimentară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definite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Regulamentul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(CE)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nr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.</w:t>
      </w:r>
      <w:proofErr w:type="gram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2073/2005.</w:t>
      </w:r>
    </w:p>
    <w:p w:rsidR="00706456" w:rsidRPr="00706456" w:rsidRDefault="00706456" w:rsidP="00706456">
      <w:pPr>
        <w:widowControl/>
        <w:autoSpaceDE/>
        <w:autoSpaceDN/>
        <w:spacing w:before="100" w:beforeAutospacing="1" w:after="100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Acest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document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este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destinat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utilizării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către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Autoritățile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Naționale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Competente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(AC), LNR-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urile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organizații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implicate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evaluarea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competenței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laboratoarelor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efectua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studii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durata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valabilitate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referitoare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la </w:t>
      </w:r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 xml:space="preserve">Listeria </w:t>
      </w:r>
      <w:proofErr w:type="spellStart"/>
      <w:proofErr w:type="gramStart"/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>monocytogenes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.</w:t>
      </w:r>
      <w:proofErr w:type="gramEnd"/>
    </w:p>
    <w:p w:rsidR="00706456" w:rsidRPr="00706456" w:rsidRDefault="00706456" w:rsidP="00706456">
      <w:pPr>
        <w:widowControl/>
        <w:autoSpaceDE/>
        <w:autoSpaceDN/>
        <w:spacing w:before="600" w:after="240"/>
        <w:outlineLvl w:val="1"/>
        <w:rPr>
          <w:rFonts w:ascii="Arial" w:eastAsia="Times New Roman" w:hAnsi="Arial" w:cs="Arial"/>
          <w:color w:val="00002E"/>
          <w:sz w:val="36"/>
          <w:szCs w:val="36"/>
          <w:lang w:val="en-US"/>
        </w:rPr>
      </w:pPr>
      <w:r w:rsidRPr="00706456">
        <w:rPr>
          <w:rFonts w:ascii="Arial" w:eastAsia="Times New Roman" w:hAnsi="Arial" w:cs="Arial"/>
          <w:color w:val="00002E"/>
          <w:sz w:val="36"/>
          <w:szCs w:val="36"/>
          <w:lang w:val="en-US"/>
        </w:rPr>
        <w:t>Campylobacter</w:t>
      </w:r>
    </w:p>
    <w:p w:rsidR="00706456" w:rsidRPr="00706456" w:rsidRDefault="00706456" w:rsidP="00706456">
      <w:pPr>
        <w:widowControl/>
        <w:autoSpaceDE/>
        <w:autoSpaceDN/>
        <w:spacing w:beforeAutospacing="1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2008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fost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efectuat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un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studiu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referință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la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nivelul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Uniunii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Europene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>Campylobacter</w:t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loturile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pui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carne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carcasele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pui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gram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carne .</w:t>
      </w:r>
      <w:proofErr w:type="gram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mai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multe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detalii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despre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studiile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referință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zoonozele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consultați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„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begin"/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instrText xml:space="preserve"> HYPERLINK "https://food.ec.europa.eu/food-safety/biological-safety/food-borne-diseases-zoonoses/control-salmonella_en" </w:instrText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separate"/>
      </w:r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>Implementarea</w:t>
      </w:r>
      <w:proofErr w:type="spellEnd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 xml:space="preserve"> </w:t>
      </w:r>
      <w:proofErr w:type="spellStart"/>
      <w:proofErr w:type="gramStart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>directivei</w:t>
      </w:r>
      <w:proofErr w:type="spellEnd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 xml:space="preserve"> ”</w:t>
      </w:r>
      <w:proofErr w:type="gramEnd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>.</w:t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end"/>
      </w:r>
    </w:p>
    <w:p w:rsidR="00706456" w:rsidRPr="00706456" w:rsidRDefault="00706456" w:rsidP="00706456">
      <w:pPr>
        <w:widowControl/>
        <w:autoSpaceDE/>
        <w:autoSpaceDN/>
        <w:spacing w:before="100" w:beforeAutospacing="1" w:after="100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La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cererea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Comisiei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, EFSA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publicat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„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Avizul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științific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>Campylobacter</w:t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producția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carne de broiler: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opțiuni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control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obiective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/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sau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ținte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performanță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diferite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etape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ale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lanțului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alimentar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”.</w:t>
      </w:r>
    </w:p>
    <w:p w:rsidR="00706456" w:rsidRPr="00706456" w:rsidRDefault="00706456" w:rsidP="00706456">
      <w:pPr>
        <w:widowControl/>
        <w:autoSpaceDE/>
        <w:autoSpaceDN/>
        <w:spacing w:beforeAutospacing="1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lastRenderedPageBreak/>
        <w:t>Comisia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solicitat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o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analiză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begin"/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instrText xml:space="preserve"> HYPERLINK "https://food.ec.europa.eu/document/download/14b7a370-e18f-4f38-bc54-00bdf92977c9_en?filename=biosafety_fh_mc_cost_benefit_analysis_campylobacter.pdf" </w:instrText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separate"/>
      </w:r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>costurilor</w:t>
      </w:r>
      <w:proofErr w:type="spellEnd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>beneficiilor</w:t>
      </w:r>
      <w:proofErr w:type="spellEnd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>stabilirii</w:t>
      </w:r>
      <w:proofErr w:type="spellEnd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>unor</w:t>
      </w:r>
      <w:proofErr w:type="spellEnd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>măsuri</w:t>
      </w:r>
      <w:proofErr w:type="spellEnd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 xml:space="preserve"> de control</w:t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end"/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Campylobacter,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baza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avizului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EFSA.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Modelul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costuri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proofErr w:type="gram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este</w:t>
      </w:r>
      <w:proofErr w:type="spellEnd"/>
      <w:proofErr w:type="gram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disponibil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într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-un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begin"/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instrText xml:space="preserve"> HYPERLINK "https://food.ec.europa.eu/document/download/ade96dad-89b4-4ff2-8b80-cfd5285fdcaf_en?filename=biosafety_fh_mc_easy_to_use_campylobacter_excel_model.xls" </w:instrText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separate"/>
      </w:r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>fișier</w:t>
      </w:r>
      <w:proofErr w:type="spellEnd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 xml:space="preserve"> Excel </w:t>
      </w:r>
      <w:proofErr w:type="spellStart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>ușor</w:t>
      </w:r>
      <w:proofErr w:type="spellEnd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>utilizat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end"/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poate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fi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adaptat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la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situațiile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individuale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ale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țărilor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UE.</w:t>
      </w:r>
    </w:p>
    <w:p w:rsidR="00706456" w:rsidRPr="00706456" w:rsidRDefault="00706456" w:rsidP="00706456">
      <w:pPr>
        <w:widowControl/>
        <w:autoSpaceDE/>
        <w:autoSpaceDN/>
        <w:spacing w:before="100" w:beforeAutospacing="1" w:after="100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2014,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Comisia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gram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</w:t>
      </w:r>
      <w:proofErr w:type="gram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organizat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un atelier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controlul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>Campylobacterului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la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păsările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curte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.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mai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multe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informații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consultați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prezentările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următoare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.</w:t>
      </w:r>
    </w:p>
    <w:p w:rsidR="00706456" w:rsidRPr="00706456" w:rsidRDefault="00706456" w:rsidP="00706456">
      <w:pPr>
        <w:widowControl/>
        <w:autoSpaceDE/>
        <w:autoSpaceDN/>
        <w:spacing w:before="600" w:after="240"/>
        <w:outlineLvl w:val="2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2014 - Atelier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lucru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controlul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Campylobacterului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la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păsările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curte</w:t>
      </w:r>
      <w:proofErr w:type="spellEnd"/>
    </w:p>
    <w:p w:rsidR="00706456" w:rsidRPr="00706456" w:rsidRDefault="00706456" w:rsidP="00706456">
      <w:pPr>
        <w:widowControl/>
        <w:numPr>
          <w:ilvl w:val="0"/>
          <w:numId w:val="1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17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Datele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monitorizare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ale EFSA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și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evaluările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relevante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ale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riscurilor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privind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Campylobacter la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păsările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curte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(Winy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Messens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, EFSA)</w:t>
        </w:r>
      </w:hyperlink>
    </w:p>
    <w:p w:rsidR="00706456" w:rsidRPr="00706456" w:rsidRDefault="00706456" w:rsidP="00706456">
      <w:pPr>
        <w:widowControl/>
        <w:numPr>
          <w:ilvl w:val="0"/>
          <w:numId w:val="1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18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Progresul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științific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al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proiectului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CamCon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finanțat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prin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programul-cadru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cercetare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al UE (Merete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Hofshagen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/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Norvegia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)</w:t>
        </w:r>
      </w:hyperlink>
    </w:p>
    <w:p w:rsidR="00706456" w:rsidRPr="00706456" w:rsidRDefault="00706456" w:rsidP="00706456">
      <w:pPr>
        <w:widowControl/>
        <w:numPr>
          <w:ilvl w:val="0"/>
          <w:numId w:val="1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19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Analiza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cost-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beneficiu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diferitelor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opțiuni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control (Klaus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Kostenzer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/EC)</w:t>
        </w:r>
      </w:hyperlink>
    </w:p>
    <w:p w:rsidR="00706456" w:rsidRPr="00706456" w:rsidRDefault="00706456" w:rsidP="00706456">
      <w:pPr>
        <w:widowControl/>
        <w:numPr>
          <w:ilvl w:val="0"/>
          <w:numId w:val="1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20" w:history="1"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Un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exemplu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al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statelor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membre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: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Belgia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(Isabel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Boosere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/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Belgia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)</w:t>
        </w:r>
      </w:hyperlink>
    </w:p>
    <w:p w:rsidR="00706456" w:rsidRPr="00706456" w:rsidRDefault="00706456" w:rsidP="00706456">
      <w:pPr>
        <w:widowControl/>
        <w:numPr>
          <w:ilvl w:val="0"/>
          <w:numId w:val="1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21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Programul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control al Campylobacter din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Noua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Zeelandă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(Steve Hathaway,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Noua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Zeelandă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)</w:t>
        </w:r>
      </w:hyperlink>
    </w:p>
    <w:p w:rsidR="00706456" w:rsidRPr="00706456" w:rsidRDefault="00706456" w:rsidP="00706456">
      <w:pPr>
        <w:widowControl/>
        <w:numPr>
          <w:ilvl w:val="0"/>
          <w:numId w:val="1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22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Prezentarea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EFSA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privind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acidul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peroxiacetic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(Winy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Messens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, EFSA)</w:t>
        </w:r>
      </w:hyperlink>
    </w:p>
    <w:p w:rsidR="00706456" w:rsidRPr="00706456" w:rsidRDefault="00706456" w:rsidP="00706456">
      <w:pPr>
        <w:widowControl/>
        <w:numPr>
          <w:ilvl w:val="0"/>
          <w:numId w:val="1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23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Scurte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declarații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ale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lui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avec / Cees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Vermeeren</w:t>
        </w:r>
        <w:proofErr w:type="spellEnd"/>
      </w:hyperlink>
    </w:p>
    <w:p w:rsidR="00706456" w:rsidRPr="00706456" w:rsidRDefault="00706456" w:rsidP="00706456">
      <w:pPr>
        <w:widowControl/>
        <w:numPr>
          <w:ilvl w:val="0"/>
          <w:numId w:val="1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24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Posibilități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criterii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microbiologice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pentru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Campylobacter (Klaus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Kostenzer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/CE)</w:t>
        </w:r>
      </w:hyperlink>
    </w:p>
    <w:p w:rsidR="00706456" w:rsidRPr="00706456" w:rsidRDefault="00706456" w:rsidP="00706456">
      <w:pPr>
        <w:widowControl/>
        <w:autoSpaceDE/>
        <w:autoSpaceDN/>
        <w:spacing w:before="600" w:after="240"/>
        <w:outlineLvl w:val="1"/>
        <w:rPr>
          <w:rFonts w:ascii="Arial" w:eastAsia="Times New Roman" w:hAnsi="Arial" w:cs="Arial"/>
          <w:color w:val="00002E"/>
          <w:sz w:val="36"/>
          <w:szCs w:val="36"/>
          <w:lang w:val="en-US"/>
        </w:rPr>
      </w:pPr>
      <w:r w:rsidRPr="00706456">
        <w:rPr>
          <w:rFonts w:ascii="Arial" w:eastAsia="Times New Roman" w:hAnsi="Arial" w:cs="Arial"/>
          <w:color w:val="00002E"/>
          <w:sz w:val="36"/>
          <w:szCs w:val="36"/>
          <w:lang w:val="en-US"/>
        </w:rPr>
        <w:t>Salmonella</w:t>
      </w:r>
    </w:p>
    <w:p w:rsidR="00706456" w:rsidRPr="00706456" w:rsidRDefault="00706456" w:rsidP="00706456">
      <w:pPr>
        <w:widowControl/>
        <w:autoSpaceDE/>
        <w:autoSpaceDN/>
        <w:spacing w:before="100" w:beforeAutospacing="1" w:after="100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Garanții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speciale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 xml:space="preserve"> Salmonella</w:t>
      </w:r>
    </w:p>
    <w:p w:rsidR="00706456" w:rsidRPr="00706456" w:rsidRDefault="00706456" w:rsidP="00706456">
      <w:pPr>
        <w:widowControl/>
        <w:autoSpaceDE/>
        <w:autoSpaceDN/>
        <w:spacing w:before="100" w:beforeAutospacing="1" w:after="100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Când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Suedia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Finlanda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au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aderat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la UE, au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fost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oferite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garanții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speciale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Salmonella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ceea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proofErr w:type="gram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ce</w:t>
      </w:r>
      <w:proofErr w:type="spellEnd"/>
      <w:proofErr w:type="gram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privește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comerțul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cu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anumite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animale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vii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produse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din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țări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.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Motivul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acestor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garanții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fost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situația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favorabilă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ceea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proofErr w:type="gram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lastRenderedPageBreak/>
        <w:t>ce</w:t>
      </w:r>
      <w:proofErr w:type="spellEnd"/>
      <w:proofErr w:type="gram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privește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prevalența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Salmonella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aceste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state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membre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programele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stricte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aplicate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.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Norvegia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are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aceleași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garanții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.</w:t>
      </w:r>
    </w:p>
    <w:p w:rsidR="00706456" w:rsidRPr="00706456" w:rsidRDefault="00706456" w:rsidP="00706456">
      <w:pPr>
        <w:widowControl/>
        <w:autoSpaceDE/>
        <w:autoSpaceDN/>
        <w:spacing w:before="100" w:beforeAutospacing="1" w:after="100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Garanțiile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actuale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sunt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prevăzute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:</w:t>
      </w:r>
    </w:p>
    <w:p w:rsidR="00706456" w:rsidRPr="00706456" w:rsidRDefault="00706456" w:rsidP="00706456">
      <w:pPr>
        <w:widowControl/>
        <w:numPr>
          <w:ilvl w:val="0"/>
          <w:numId w:val="2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25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Decizia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95/410/CE 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Consiliului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păsările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curte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destinate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sacrificării</w:t>
      </w:r>
      <w:proofErr w:type="spellEnd"/>
    </w:p>
    <w:p w:rsidR="00706456" w:rsidRPr="00706456" w:rsidRDefault="00706456" w:rsidP="00706456">
      <w:pPr>
        <w:widowControl/>
        <w:numPr>
          <w:ilvl w:val="0"/>
          <w:numId w:val="2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26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Decizia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2004/235/CE</w:t>
        </w:r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găinile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ouătoare</w:t>
      </w:r>
      <w:proofErr w:type="spellEnd"/>
    </w:p>
    <w:p w:rsidR="00706456" w:rsidRPr="00706456" w:rsidRDefault="00706456" w:rsidP="00706456">
      <w:pPr>
        <w:widowControl/>
        <w:numPr>
          <w:ilvl w:val="0"/>
          <w:numId w:val="2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27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Decizia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2003/644/CE</w:t>
        </w:r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găinile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reproducție</w:t>
      </w:r>
      <w:proofErr w:type="spellEnd"/>
    </w:p>
    <w:p w:rsidR="00706456" w:rsidRPr="00706456" w:rsidRDefault="00706456" w:rsidP="00706456">
      <w:pPr>
        <w:widowControl/>
        <w:numPr>
          <w:ilvl w:val="0"/>
          <w:numId w:val="2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28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Regulamentul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(CE)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nr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. 1688/2005</w:t>
        </w:r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anumite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tipuri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carne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ouă</w:t>
      </w:r>
      <w:proofErr w:type="spellEnd"/>
    </w:p>
    <w:p w:rsidR="00706456" w:rsidRPr="00706456" w:rsidRDefault="00706456" w:rsidP="00706456">
      <w:pPr>
        <w:widowControl/>
        <w:autoSpaceDE/>
        <w:autoSpaceDN/>
        <w:spacing w:beforeAutospacing="1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(A se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vedea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begin"/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instrText xml:space="preserve"> HYPERLINK "https://eur-lex.europa.eu/eli/reg/2006/776/oj" </w:instrText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separate"/>
      </w:r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>Regulamentul</w:t>
      </w:r>
      <w:proofErr w:type="spellEnd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 xml:space="preserve"> (CE) </w:t>
      </w:r>
      <w:proofErr w:type="spellStart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>nr</w:t>
      </w:r>
      <w:proofErr w:type="spellEnd"/>
      <w:r w:rsidRPr="00706456">
        <w:rPr>
          <w:rFonts w:ascii="Arial" w:eastAsia="Times New Roman" w:hAnsi="Arial" w:cs="Arial"/>
          <w:color w:val="0046FF"/>
          <w:sz w:val="27"/>
          <w:szCs w:val="27"/>
          <w:u w:val="single"/>
          <w:lang w:val="en-US"/>
        </w:rPr>
        <w:t>. 776/2006)</w:t>
      </w: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fldChar w:fldCharType="end"/>
      </w:r>
    </w:p>
    <w:p w:rsidR="00706456" w:rsidRPr="00706456" w:rsidRDefault="00706456" w:rsidP="00706456">
      <w:pPr>
        <w:widowControl/>
        <w:autoSpaceDE/>
        <w:autoSpaceDN/>
        <w:spacing w:before="100" w:beforeAutospacing="1" w:after="100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țări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ale UE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sau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regiuni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ale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țărilor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UE pot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obține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garanții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speciale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dacă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au </w:t>
      </w:r>
      <w:proofErr w:type="gram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un</w:t>
      </w:r>
      <w:proofErr w:type="gram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program de control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recunoscut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ca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echivalent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cu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cel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aprobat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Suedia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Finlanda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conformitate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cu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Regulamentele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(CE)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nr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. </w:t>
      </w:r>
      <w:proofErr w:type="gram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853/2004</w:t>
      </w:r>
      <w:proofErr w:type="gram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(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produse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)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2160/2003 (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animale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).</w:t>
      </w:r>
    </w:p>
    <w:p w:rsidR="00706456" w:rsidRPr="00706456" w:rsidRDefault="00706456" w:rsidP="00706456">
      <w:pPr>
        <w:widowControl/>
        <w:autoSpaceDE/>
        <w:autoSpaceDN/>
        <w:spacing w:beforeAutospacing="1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Este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disponibil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un </w:t>
      </w:r>
      <w:hyperlink r:id="rId29" w:history="1"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document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orientare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cerințele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minime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ca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programele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control al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Salmonelei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fie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recunoscute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ca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fiind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echivalente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cu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cele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aprobate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Suedia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Finlanda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în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ceea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privește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carnea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ouăle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 </w:t>
      </w:r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 xml:space="preserve">Gallus </w:t>
      </w:r>
      <w:proofErr w:type="spellStart"/>
      <w:r w:rsidRPr="00706456">
        <w:rPr>
          <w:rFonts w:ascii="Arial" w:eastAsia="Times New Roman" w:hAnsi="Arial" w:cs="Arial"/>
          <w:i/>
          <w:iCs/>
          <w:color w:val="00002E"/>
          <w:sz w:val="27"/>
          <w:szCs w:val="27"/>
          <w:lang w:val="en-US"/>
        </w:rPr>
        <w:t>gallus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.</w:t>
      </w:r>
    </w:p>
    <w:p w:rsidR="00706456" w:rsidRPr="00706456" w:rsidRDefault="00706456" w:rsidP="00706456">
      <w:pPr>
        <w:widowControl/>
        <w:autoSpaceDE/>
        <w:autoSpaceDN/>
        <w:spacing w:before="600" w:after="240"/>
        <w:outlineLvl w:val="2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2009 - Atelier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lucru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controlul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salmonelei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la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porci</w:t>
      </w:r>
      <w:proofErr w:type="spellEnd"/>
    </w:p>
    <w:p w:rsidR="00706456" w:rsidRPr="00706456" w:rsidRDefault="00706456" w:rsidP="00706456">
      <w:pPr>
        <w:widowControl/>
        <w:autoSpaceDE/>
        <w:autoSpaceDN/>
        <w:spacing w:beforeAutospacing="1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30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Ordinea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zi</w:t>
        </w:r>
        <w:proofErr w:type="spellEnd"/>
      </w:hyperlink>
    </w:p>
    <w:p w:rsidR="00706456" w:rsidRPr="00706456" w:rsidRDefault="00706456" w:rsidP="00706456">
      <w:pPr>
        <w:widowControl/>
        <w:autoSpaceDE/>
        <w:autoSpaceDN/>
        <w:spacing w:before="100" w:beforeAutospacing="1" w:after="100" w:afterAutospacing="1" w:line="420" w:lineRule="atLeast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Prezentări</w:t>
      </w:r>
      <w:proofErr w:type="spellEnd"/>
      <w:r w:rsidRPr="00706456">
        <w:rPr>
          <w:rFonts w:ascii="Arial" w:eastAsia="Times New Roman" w:hAnsi="Arial" w:cs="Arial"/>
          <w:b/>
          <w:bCs/>
          <w:color w:val="00002E"/>
          <w:sz w:val="27"/>
          <w:szCs w:val="27"/>
          <w:lang w:val="en-US"/>
        </w:rPr>
        <w:t>:</w:t>
      </w:r>
    </w:p>
    <w:p w:rsidR="00706456" w:rsidRPr="00706456" w:rsidRDefault="00706456" w:rsidP="00706456">
      <w:pPr>
        <w:widowControl/>
        <w:numPr>
          <w:ilvl w:val="0"/>
          <w:numId w:val="3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31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Efectul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decontaminării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carcaselor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la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abatoarele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porci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asupra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numărului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cazuri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Salmonella la om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în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Danemarca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Søren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Aabo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-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Secția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Igiena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Alimentară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Departamentul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Microbiologie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Evaluarea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Riscurilor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Institutul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Național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Alimentație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Universitatea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Tehnică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din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Danemarca</w:t>
      </w:r>
      <w:proofErr w:type="spellEnd"/>
    </w:p>
    <w:p w:rsidR="00706456" w:rsidRPr="00706456" w:rsidRDefault="00706456" w:rsidP="00706456">
      <w:pPr>
        <w:widowControl/>
        <w:numPr>
          <w:ilvl w:val="0"/>
          <w:numId w:val="3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32" w:history="1"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Un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studiu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inițial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efectuat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la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nivelul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întregii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Uniuni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Europene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privind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prevalența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Salmonella la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porcii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sacrificare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, Pierre-Alexandre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Belœil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-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Unitatea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Colectare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Datelor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privind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Zoonozele</w:t>
      </w:r>
      <w:proofErr w:type="spellEnd"/>
    </w:p>
    <w:p w:rsidR="00706456" w:rsidRPr="00706456" w:rsidRDefault="00706456" w:rsidP="00706456">
      <w:pPr>
        <w:widowControl/>
        <w:numPr>
          <w:ilvl w:val="0"/>
          <w:numId w:val="3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33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Comparabilitatea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diferitelor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teste ELISA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privind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detectarea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anticorpilor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împotriva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Salmonella spp.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în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sucul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carne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și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serul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porc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, Petra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Berk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-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Rivm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- CRL - Salmonella</w:t>
      </w:r>
    </w:p>
    <w:p w:rsidR="00706456" w:rsidRPr="00706456" w:rsidRDefault="00706456" w:rsidP="00706456">
      <w:pPr>
        <w:widowControl/>
        <w:numPr>
          <w:ilvl w:val="0"/>
          <w:numId w:val="3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34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Analiza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datelor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din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Regatul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Unit care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compară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diferite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tipuri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probe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în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scopul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monitorizării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Salmonella la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sacrificare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, Alasdair JC Cook -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Epidemiolog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Veterinar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Senior,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Centrul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Epidemiologie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Analiza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Riscurilor</w:t>
      </w:r>
      <w:proofErr w:type="spellEnd"/>
    </w:p>
    <w:p w:rsidR="00706456" w:rsidRPr="00706456" w:rsidRDefault="00706456" w:rsidP="00706456">
      <w:pPr>
        <w:widowControl/>
        <w:numPr>
          <w:ilvl w:val="0"/>
          <w:numId w:val="3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35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Experiența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din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Regatul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Unit cu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intervenții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la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fermă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pentru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controlul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Salmonellei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la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porcii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finisare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, Alasdair JC Cook -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Epidemiolog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Veterinar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Senior,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Centrul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Epidemiologie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Analiza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Riscurilor</w:t>
      </w:r>
      <w:proofErr w:type="spellEnd"/>
    </w:p>
    <w:p w:rsidR="00706456" w:rsidRPr="00706456" w:rsidRDefault="00706456" w:rsidP="00706456">
      <w:pPr>
        <w:widowControl/>
        <w:numPr>
          <w:ilvl w:val="0"/>
          <w:numId w:val="3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36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Opțiuni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,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costuri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și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efecte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ale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controlului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salmonelei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la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porci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și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porci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, Jan Dahl - DVM,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consilier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șef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siguranța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alimentelor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Asociația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Daneză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Cărnii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, UECBV,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Clitravi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, Safe Pork Europe</w:t>
      </w:r>
    </w:p>
    <w:p w:rsidR="00706456" w:rsidRPr="00706456" w:rsidRDefault="00706456" w:rsidP="00706456">
      <w:pPr>
        <w:widowControl/>
        <w:numPr>
          <w:ilvl w:val="0"/>
          <w:numId w:val="3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37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Strategia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UE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privind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controlul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Salmonella spp. la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porci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, Dr. Kris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Smet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-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Comisia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Europeană</w:t>
      </w:r>
      <w:proofErr w:type="spellEnd"/>
    </w:p>
    <w:p w:rsidR="00706456" w:rsidRPr="00706456" w:rsidRDefault="00706456" w:rsidP="00706456">
      <w:pPr>
        <w:widowControl/>
        <w:numPr>
          <w:ilvl w:val="0"/>
          <w:numId w:val="3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38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Consilii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produse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pentru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animale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, carne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și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ouă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Marlies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Hanssen - Program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olandez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control al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salmonelei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factori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succes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/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risc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la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nivel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fermă</w:t>
      </w:r>
      <w:proofErr w:type="spellEnd"/>
    </w:p>
    <w:p w:rsidR="00706456" w:rsidRPr="00706456" w:rsidRDefault="00706456" w:rsidP="00706456">
      <w:pPr>
        <w:widowControl/>
        <w:numPr>
          <w:ilvl w:val="0"/>
          <w:numId w:val="3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39" w:history="1"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EFSA Salmonella la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porci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QMRA: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Actualizare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privind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progresele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înregistrate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, Andy Hill - VLA,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Regatul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Unit</w:t>
      </w:r>
    </w:p>
    <w:p w:rsidR="00706456" w:rsidRPr="00706456" w:rsidRDefault="00706456" w:rsidP="00706456">
      <w:pPr>
        <w:widowControl/>
        <w:numPr>
          <w:ilvl w:val="0"/>
          <w:numId w:val="3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40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Dezvoltarea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unui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instrument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pentru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măsurarea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cât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bine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sunt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controlați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agenții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patogeni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într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-un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abator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carne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porc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, Mary Howell -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Agenția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Standarde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Alimentare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din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Marea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Britanie</w:t>
      </w:r>
    </w:p>
    <w:p w:rsidR="00706456" w:rsidRPr="00706456" w:rsidRDefault="00706456" w:rsidP="00706456">
      <w:pPr>
        <w:widowControl/>
        <w:numPr>
          <w:ilvl w:val="0"/>
          <w:numId w:val="3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41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Evaluarea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cantitativă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riscurilor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legate de Salmonella la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porcii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abator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și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reproducere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, Tobin Robinson, Michaela Hempen, Marta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Hugas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-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Unitatea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pentru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Riscuri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Biologice</w:t>
      </w:r>
      <w:proofErr w:type="spellEnd"/>
    </w:p>
    <w:p w:rsidR="00706456" w:rsidRPr="00706456" w:rsidRDefault="00706456" w:rsidP="00706456">
      <w:pPr>
        <w:widowControl/>
        <w:numPr>
          <w:ilvl w:val="0"/>
          <w:numId w:val="3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42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Analiza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cost-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beneficiu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controlului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Salmonella la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porcii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sacrificare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Ólafur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Oddgeirsson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, Tessa Crilly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și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Jonathan Rushton -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Consorțiul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FCC</w:t>
      </w:r>
    </w:p>
    <w:p w:rsidR="00706456" w:rsidRPr="00706456" w:rsidRDefault="00706456" w:rsidP="00706456">
      <w:pPr>
        <w:widowControl/>
        <w:numPr>
          <w:ilvl w:val="0"/>
          <w:numId w:val="3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43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Contaminarea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cu salmonella a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porcilor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sacrificare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în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ferme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și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opțiuni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control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în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Franța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: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unde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proofErr w:type="gram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începem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?</w:t>
        </w:r>
        <w:proofErr w:type="gram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Încotro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să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mergem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?,</w:t>
        </w:r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 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Salvat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G, Denis M - AFSSA-LERAPP,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unitatea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HQPAP</w:t>
      </w:r>
    </w:p>
    <w:p w:rsidR="00706456" w:rsidRPr="00706456" w:rsidRDefault="00706456" w:rsidP="00706456">
      <w:pPr>
        <w:widowControl/>
        <w:numPr>
          <w:ilvl w:val="0"/>
          <w:numId w:val="3"/>
        </w:numPr>
        <w:autoSpaceDE/>
        <w:autoSpaceDN/>
        <w:spacing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44" w:history="1"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Controlul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salmonelei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în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producția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porci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din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Suedia</w:t>
        </w:r>
        <w:proofErr w:type="spellEnd"/>
      </w:hyperlink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 , Helene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Wahlström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 xml:space="preserve"> - </w:t>
      </w:r>
      <w:proofErr w:type="spellStart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Zoonosiscenter</w:t>
      </w:r>
      <w:proofErr w:type="spellEnd"/>
      <w:r w:rsidRPr="00706456">
        <w:rPr>
          <w:rFonts w:ascii="Arial" w:eastAsia="Times New Roman" w:hAnsi="Arial" w:cs="Arial"/>
          <w:color w:val="00002E"/>
          <w:sz w:val="27"/>
          <w:szCs w:val="27"/>
          <w:lang w:val="en-US"/>
        </w:rPr>
        <w:t>, SVA</w:t>
      </w:r>
    </w:p>
    <w:p w:rsidR="00706456" w:rsidRPr="00706456" w:rsidRDefault="00706456" w:rsidP="00706456">
      <w:pPr>
        <w:widowControl/>
        <w:autoSpaceDE/>
        <w:autoSpaceDN/>
        <w:spacing w:before="600" w:after="240"/>
        <w:outlineLvl w:val="1"/>
        <w:rPr>
          <w:rFonts w:ascii="Arial" w:eastAsia="Times New Roman" w:hAnsi="Arial" w:cs="Arial"/>
          <w:color w:val="00002E"/>
          <w:sz w:val="36"/>
          <w:szCs w:val="36"/>
          <w:lang w:val="en-US"/>
        </w:rPr>
      </w:pPr>
      <w:proofErr w:type="spellStart"/>
      <w:r w:rsidRPr="00706456">
        <w:rPr>
          <w:rFonts w:ascii="Arial" w:eastAsia="Times New Roman" w:hAnsi="Arial" w:cs="Arial"/>
          <w:color w:val="00002E"/>
          <w:sz w:val="36"/>
          <w:szCs w:val="36"/>
          <w:lang w:val="en-US"/>
        </w:rPr>
        <w:t>Linkuri</w:t>
      </w:r>
      <w:proofErr w:type="spellEnd"/>
      <w:r w:rsidRPr="00706456">
        <w:rPr>
          <w:rFonts w:ascii="Arial" w:eastAsia="Times New Roman" w:hAnsi="Arial" w:cs="Arial"/>
          <w:color w:val="00002E"/>
          <w:sz w:val="36"/>
          <w:szCs w:val="36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2E"/>
          <w:sz w:val="36"/>
          <w:szCs w:val="36"/>
          <w:lang w:val="en-US"/>
        </w:rPr>
        <w:t>conexe</w:t>
      </w:r>
      <w:proofErr w:type="spellEnd"/>
    </w:p>
    <w:p w:rsidR="00706456" w:rsidRPr="00706456" w:rsidRDefault="00706456" w:rsidP="00706456">
      <w:pPr>
        <w:widowControl/>
        <w:numPr>
          <w:ilvl w:val="0"/>
          <w:numId w:val="4"/>
        </w:numPr>
        <w:autoSpaceDE/>
        <w:autoSpaceDN/>
        <w:spacing w:beforeAutospacing="1" w:afterAutospacing="1" w:line="420" w:lineRule="atLeast"/>
        <w:ind w:left="0"/>
        <w:rPr>
          <w:rFonts w:ascii="Arial" w:eastAsia="Times New Roman" w:hAnsi="Arial" w:cs="Arial"/>
          <w:color w:val="00002E"/>
          <w:sz w:val="27"/>
          <w:szCs w:val="27"/>
          <w:lang w:val="en-US"/>
        </w:rPr>
      </w:pPr>
      <w:hyperlink r:id="rId45" w:history="1"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Document de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orientare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privind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controalele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oficiale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,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eșantionarea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microbiologică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și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testarea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produselor</w:t>
        </w:r>
        <w:proofErr w:type="spellEnd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 xml:space="preserve"> </w:t>
        </w:r>
        <w:proofErr w:type="spellStart"/>
        <w:r w:rsidRPr="00706456">
          <w:rPr>
            <w:rFonts w:ascii="Arial" w:eastAsia="Times New Roman" w:hAnsi="Arial" w:cs="Arial"/>
            <w:color w:val="0046FF"/>
            <w:sz w:val="27"/>
            <w:szCs w:val="27"/>
            <w:u w:val="single"/>
            <w:lang w:val="en-US"/>
          </w:rPr>
          <w:t>alimentare</w:t>
        </w:r>
        <w:proofErr w:type="spellEnd"/>
      </w:hyperlink>
    </w:p>
    <w:p w:rsidR="00706456" w:rsidRPr="00706456" w:rsidRDefault="00706456" w:rsidP="00706456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en-US"/>
        </w:rPr>
      </w:pPr>
      <w:proofErr w:type="spellStart"/>
      <w:r w:rsidRPr="00706456">
        <w:rPr>
          <w:rFonts w:ascii="Arial" w:eastAsia="Times New Roman" w:hAnsi="Arial" w:cs="Arial"/>
          <w:color w:val="000000"/>
          <w:sz w:val="27"/>
          <w:szCs w:val="27"/>
          <w:lang w:val="en-US"/>
        </w:rPr>
        <w:t>Distribuiți</w:t>
      </w:r>
      <w:proofErr w:type="spellEnd"/>
      <w:r w:rsidRPr="00706456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00"/>
          <w:sz w:val="27"/>
          <w:szCs w:val="27"/>
          <w:lang w:val="en-US"/>
        </w:rPr>
        <w:t>această</w:t>
      </w:r>
      <w:proofErr w:type="spellEnd"/>
      <w:r w:rsidRPr="00706456"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Pr="00706456">
        <w:rPr>
          <w:rFonts w:ascii="Arial" w:eastAsia="Times New Roman" w:hAnsi="Arial" w:cs="Arial"/>
          <w:color w:val="000000"/>
          <w:sz w:val="27"/>
          <w:szCs w:val="27"/>
          <w:lang w:val="en-US"/>
        </w:rPr>
        <w:t>pagină</w:t>
      </w:r>
      <w:proofErr w:type="spellEnd"/>
    </w:p>
    <w:p w:rsidR="00706456" w:rsidRDefault="00706456"/>
    <w:sectPr w:rsidR="00706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2C0"/>
    <w:multiLevelType w:val="multilevel"/>
    <w:tmpl w:val="12BA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72718F"/>
    <w:multiLevelType w:val="multilevel"/>
    <w:tmpl w:val="7F2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010A05"/>
    <w:multiLevelType w:val="multilevel"/>
    <w:tmpl w:val="029A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717652"/>
    <w:multiLevelType w:val="multilevel"/>
    <w:tmpl w:val="F550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56"/>
    <w:rsid w:val="00561C94"/>
    <w:rsid w:val="00706456"/>
    <w:rsid w:val="008955AC"/>
    <w:rsid w:val="00EB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2104"/>
  <w15:chartTrackingRefBased/>
  <w15:docId w15:val="{D9A340B2-369A-4F5C-94E5-C33F0299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150"/>
    <w:rPr>
      <w:rFonts w:ascii="Times New Roman" w:hAnsi="Times New Roman"/>
      <w:lang w:val="ro-RO"/>
    </w:rPr>
  </w:style>
  <w:style w:type="paragraph" w:styleId="Heading2">
    <w:name w:val="heading 2"/>
    <w:basedOn w:val="Normal"/>
    <w:link w:val="Heading2Char"/>
    <w:uiPriority w:val="9"/>
    <w:qFormat/>
    <w:rsid w:val="00706456"/>
    <w:pPr>
      <w:widowControl/>
      <w:autoSpaceDE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706456"/>
    <w:pPr>
      <w:widowControl/>
      <w:autoSpaceDE/>
      <w:autoSpaceDN/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B1150"/>
    <w:pPr>
      <w:ind w:left="7"/>
      <w:jc w:val="center"/>
    </w:pPr>
    <w:rPr>
      <w:rFonts w:eastAsia="Times New Roman" w:cs="Times New Roman"/>
    </w:rPr>
  </w:style>
  <w:style w:type="paragraph" w:styleId="Title">
    <w:name w:val="Title"/>
    <w:basedOn w:val="Normal"/>
    <w:link w:val="TitleChar"/>
    <w:uiPriority w:val="1"/>
    <w:qFormat/>
    <w:rsid w:val="00EB1150"/>
    <w:pPr>
      <w:spacing w:before="1"/>
      <w:ind w:left="3164" w:right="1650"/>
      <w:jc w:val="center"/>
    </w:pPr>
    <w:rPr>
      <w:rFonts w:eastAsia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"/>
    <w:rsid w:val="00EB1150"/>
    <w:rPr>
      <w:rFonts w:ascii="Times New Roman" w:eastAsia="Times New Roman" w:hAnsi="Times New Roman" w:cs="Times New Roman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EB1150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B1150"/>
    <w:rPr>
      <w:rFonts w:ascii="Calibri" w:eastAsia="Calibri" w:hAnsi="Calibri" w:cs="Calibri"/>
      <w:b/>
      <w:bCs/>
      <w:sz w:val="20"/>
      <w:szCs w:val="20"/>
      <w:lang w:val="ro-RO"/>
    </w:rPr>
  </w:style>
  <w:style w:type="paragraph" w:styleId="ListParagraph">
    <w:name w:val="List Paragraph"/>
    <w:basedOn w:val="Normal"/>
    <w:uiPriority w:val="1"/>
    <w:qFormat/>
    <w:rsid w:val="00EB1150"/>
    <w:rPr>
      <w:rFonts w:eastAsia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064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064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06456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06456"/>
    <w:rPr>
      <w:b/>
      <w:bCs/>
    </w:rPr>
  </w:style>
  <w:style w:type="character" w:styleId="Hyperlink">
    <w:name w:val="Hyperlink"/>
    <w:basedOn w:val="DefaultParagraphFont"/>
    <w:uiPriority w:val="99"/>
    <w:unhideWhenUsed/>
    <w:rsid w:val="0070645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06456"/>
    <w:rPr>
      <w:i/>
      <w:iCs/>
    </w:rPr>
  </w:style>
  <w:style w:type="character" w:customStyle="1" w:styleId="ecl-linklabel">
    <w:name w:val="ecl-link__label"/>
    <w:basedOn w:val="DefaultParagraphFont"/>
    <w:rsid w:val="00706456"/>
  </w:style>
  <w:style w:type="paragraph" w:customStyle="1" w:styleId="ecl-social-media-sharedescription">
    <w:name w:val="ecl-social-media-share__description"/>
    <w:basedOn w:val="Normal"/>
    <w:rsid w:val="00706456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6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ss.it/en/vtec-about-us" TargetMode="External"/><Relationship Id="rId18" Type="http://schemas.openxmlformats.org/officeDocument/2006/relationships/hyperlink" Target="https://food.ec.europa.eu/document/download/92f5a6e2-5054-4f87-bd95-98e835f49526_en?filename=biosafety_fh_mc_camcon-project.pdf" TargetMode="External"/><Relationship Id="rId26" Type="http://schemas.openxmlformats.org/officeDocument/2006/relationships/hyperlink" Target="https://eur-lex.europa.eu/eli/dec/2004/235/oj" TargetMode="External"/><Relationship Id="rId39" Type="http://schemas.openxmlformats.org/officeDocument/2006/relationships/hyperlink" Target="https://food.ec.europa.eu/document/download/a6f836e0-6671-499f-9eb7-19604a143ab2_en?filename=biosafety_fh_mc_efsa-salmonella-qmra.pdf" TargetMode="External"/><Relationship Id="rId21" Type="http://schemas.openxmlformats.org/officeDocument/2006/relationships/hyperlink" Target="https://food.ec.europa.eu/document/download/80df542a-cc8f-4582-8614-dea39dd3120a_en?filename=biosafety_fh_mc_control-prog-new-zealand.pdf" TargetMode="External"/><Relationship Id="rId34" Type="http://schemas.openxmlformats.org/officeDocument/2006/relationships/hyperlink" Target="https://food.ec.europa.eu/document/download/41f17a96-c1a1-409c-bd32-187fabd497a7_en?filename=biosafety_fh_mc_uk-data-analysis-salmonella.pdf" TargetMode="External"/><Relationship Id="rId42" Type="http://schemas.openxmlformats.org/officeDocument/2006/relationships/hyperlink" Target="https://food.ec.europa.eu/document/download/ef354f7b-a3f2-448d-9404-1a991b694240_en?filename=biosafety_fh_mc_cost-benefit-salmonella-control.pdf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food.ec.europa.eu/horizontal-topics/international-affairs/international-standards/codex-alimentarius_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od.ec.europa.eu/document/download/f7592428-9712-40f8-963a-f51a8a39823c_en?filename=biosafety_fh_mc_guidance-comp-labs.pdf" TargetMode="External"/><Relationship Id="rId29" Type="http://schemas.openxmlformats.org/officeDocument/2006/relationships/hyperlink" Target="https://food.ec.europa.eu/document/download/832f3419-2107-45aa-b0d8-3c5e997337b0_en?filename=biosafety_food-borne-disease_salmonella_guidance_min-req_swe-fi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eli/reg/2005/2073/2014-06-01" TargetMode="External"/><Relationship Id="rId11" Type="http://schemas.openxmlformats.org/officeDocument/2006/relationships/hyperlink" Target="https://www.eurlsalmonella.eu/" TargetMode="External"/><Relationship Id="rId24" Type="http://schemas.openxmlformats.org/officeDocument/2006/relationships/hyperlink" Target="https://food.ec.europa.eu/document/download/0e8a478f-61b5-497c-be5a-d9a5744fe45b_en?filename=biosafety_fh_mc_possibilities-microbiological-criteria.pdf" TargetMode="External"/><Relationship Id="rId32" Type="http://schemas.openxmlformats.org/officeDocument/2006/relationships/hyperlink" Target="https://food.ec.europa.eu/document/download/2af4810e-2fb5-4cfe-9692-e1c139d59ca8_en?filename=biosafety_fh_mc_eu-wide-survey-prevalence-salmonella-pigs.pdf" TargetMode="External"/><Relationship Id="rId37" Type="http://schemas.openxmlformats.org/officeDocument/2006/relationships/hyperlink" Target="https://food.ec.europa.eu/document/download/0e8a478f-61b5-497c-be5a-d9a5744fe45b_en?filename=biosafety_fh_mc_possibilities-microbiological-criteria.pdf" TargetMode="External"/><Relationship Id="rId40" Type="http://schemas.openxmlformats.org/officeDocument/2006/relationships/hyperlink" Target="https://food.ec.europa.eu/document/download/5a9c2c42-9a49-4b3b-8f4e-7be60df87947_en?filename=biosafety_fh_mc_dev-tool-measure-pathogens-control.pdf" TargetMode="External"/><Relationship Id="rId45" Type="http://schemas.openxmlformats.org/officeDocument/2006/relationships/hyperlink" Target="https://food.ec.europa.eu/document/download/e539c340-940a-4a0d-a21e-2345281dfcbd_en?filename=biosafety_fh_mc_guidance_doc_sampling_testing_nov2006.pdf" TargetMode="External"/><Relationship Id="rId5" Type="http://schemas.openxmlformats.org/officeDocument/2006/relationships/hyperlink" Target="https://food.ec.europa.eu/food-safety/biological-safety/food-hygiene/microbiological-criteria_en" TargetMode="External"/><Relationship Id="rId15" Type="http://schemas.openxmlformats.org/officeDocument/2006/relationships/hyperlink" Target="https://food.ec.europa.eu/document/download/77d7e9a5-9db3-49c2-89c4-780f10a48071_en?filename=biosafety_fh_mc_tech-guide-doc_listeria-in-rte-foods_en_0.pdf" TargetMode="External"/><Relationship Id="rId23" Type="http://schemas.openxmlformats.org/officeDocument/2006/relationships/hyperlink" Target="https://food.ec.europa.eu/document/download/feb1fc20-673c-418e-bf7f-46b41d05d0fe_en?filename=biosafety_fh_mc_short-statements.pdf" TargetMode="External"/><Relationship Id="rId28" Type="http://schemas.openxmlformats.org/officeDocument/2006/relationships/hyperlink" Target="https://eur-lex.europa.eu/eli/reg/2005/1688/oj" TargetMode="External"/><Relationship Id="rId36" Type="http://schemas.openxmlformats.org/officeDocument/2006/relationships/hyperlink" Target="https://food.ec.europa.eu/document/download/0dc77f6d-f5d5-4a8f-97fb-c585fdd94c6a_en?filename=biosafety_fh_mc_options-cost-effect-salmonella.pdf" TargetMode="External"/><Relationship Id="rId10" Type="http://schemas.openxmlformats.org/officeDocument/2006/relationships/hyperlink" Target="https://eurl-staphylococci.anses.fr/en/minisite/staphylococci/eurl-coagulase-positive-staphylococci" TargetMode="External"/><Relationship Id="rId19" Type="http://schemas.openxmlformats.org/officeDocument/2006/relationships/hyperlink" Target="https://food.ec.europa.eu/document/download/a643b2f1-fa60-41cf-ad13-9fa5985b5282_en?filename=biosafety_fh_mc_cost-benefit-analysis.pdf" TargetMode="External"/><Relationship Id="rId31" Type="http://schemas.openxmlformats.org/officeDocument/2006/relationships/hyperlink" Target="https://food.ec.europa.eu/document/download/1792d81d-96d5-4e85-9c14-57c1f7337474_en?filename=biosafety_fh_mc_carcass-decontamination-pigs-denmark.pdf" TargetMode="External"/><Relationship Id="rId44" Type="http://schemas.openxmlformats.org/officeDocument/2006/relationships/hyperlink" Target="https://food.ec.europa.eu/document/download/5dd1de38-3c79-4ea8-91e2-6d4850427148_en?filename=biosafety_fh_mc_salmonella-control-pig-prod-swed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od.ec.europa.eu/document/download/6f8bcda8-a3bc-4ebd-8117-70dc43458d5f_en?filename=biosafety_fh_microbio_criteria-discussion_paper_en.pdf" TargetMode="External"/><Relationship Id="rId14" Type="http://schemas.openxmlformats.org/officeDocument/2006/relationships/hyperlink" Target="https://eurl-listeria.anses.fr/en/minisite/listeria-monocytogenes/mandate" TargetMode="External"/><Relationship Id="rId22" Type="http://schemas.openxmlformats.org/officeDocument/2006/relationships/hyperlink" Target="https://food.ec.europa.eu/document/download/318c516d-26eb-49ed-94c4-a68944eab03f_en?filename=biosafety_fh_mc_efsa-presentation-peroxyacetic-acid.pdf" TargetMode="External"/><Relationship Id="rId27" Type="http://schemas.openxmlformats.org/officeDocument/2006/relationships/hyperlink" Target="https://eur-lex.europa.eu/eli/dec/2003/644/oj" TargetMode="External"/><Relationship Id="rId30" Type="http://schemas.openxmlformats.org/officeDocument/2006/relationships/hyperlink" Target="https://food.ec.europa.eu/document/download/c9293dca-5cc5-41ec-ad2c-42f9f7f6cf74_en?filename=biosafety_food-borne-disease_salmonella_wksp_20090226.pdf" TargetMode="External"/><Relationship Id="rId35" Type="http://schemas.openxmlformats.org/officeDocument/2006/relationships/hyperlink" Target="https://food.ec.europa.eu/document/download/f19ccd62-3f13-4156-94a5-524202411164_en?filename=biosafety_fh_mc_uk-experience-salmonella-control.pdf" TargetMode="External"/><Relationship Id="rId43" Type="http://schemas.openxmlformats.org/officeDocument/2006/relationships/hyperlink" Target="https://food.ec.europa.eu/document/download/34dbfd70-3bc4-4b1a-afc0-feaf189ee814_en?filename=biosafety_fh_mc_salmonella-contamination-control-options-france.pdf" TargetMode="External"/><Relationship Id="rId8" Type="http://schemas.openxmlformats.org/officeDocument/2006/relationships/hyperlink" Target="https://www.efsa.europa.eu/en/efsajournal/pub/21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va.se/en/about-us/eurl-campylobacter/" TargetMode="External"/><Relationship Id="rId17" Type="http://schemas.openxmlformats.org/officeDocument/2006/relationships/hyperlink" Target="https://food.ec.europa.eu/document/download/87ea5ad2-0e19-41be-9d6d-940a7b9b4466_en?filename=biosafety_fh_mc_efsa-monitoring-data-poultry.pdf" TargetMode="External"/><Relationship Id="rId25" Type="http://schemas.openxmlformats.org/officeDocument/2006/relationships/hyperlink" Target="https://eur-lex.europa.eu/eli/dec/1995/410/1998-03-24" TargetMode="External"/><Relationship Id="rId33" Type="http://schemas.openxmlformats.org/officeDocument/2006/relationships/hyperlink" Target="https://food.ec.europa.eu/document/download/b3a83562-914f-4566-b996-fe4880442251_en?filename=biosafety_fh_mc_elisa-comparability-salmonella-detection.pdf" TargetMode="External"/><Relationship Id="rId38" Type="http://schemas.openxmlformats.org/officeDocument/2006/relationships/hyperlink" Target="https://food.ec.europa.eu/document/download/85415b7f-8a1f-45a7-b4b9-5b303ed6ba1d_en?filename=biosafety_fh_mc_product-boards-livestock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food.ec.europa.eu/document/download/57555ea8-d1c3-42ab-9ef6-19ed4aac0e21_en?filename=biosafety_fh_mc_ms-example-belgium.pdf" TargetMode="External"/><Relationship Id="rId41" Type="http://schemas.openxmlformats.org/officeDocument/2006/relationships/hyperlink" Target="https://food.ec.europa.eu/document/download/744ec8fd-d5cb-41a1-919b-4d2c1a91c0cd_en?filename=biosafety_fh_mc_quantitative-risk-assessment-salmonell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Boby</dc:creator>
  <cp:keywords/>
  <dc:description/>
  <cp:lastModifiedBy>Boby</cp:lastModifiedBy>
  <cp:revision>2</cp:revision>
  <dcterms:created xsi:type="dcterms:W3CDTF">2025-09-28T05:45:00Z</dcterms:created>
  <dcterms:modified xsi:type="dcterms:W3CDTF">2025-09-28T11:13:00Z</dcterms:modified>
</cp:coreProperties>
</file>